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4A3" w:rsidRDefault="00A93B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Prividno gibanje Sunca kroz godinu</w:t>
      </w:r>
    </w:p>
    <w:p w:rsidR="00A93BFC" w:rsidRDefault="00A93BFC">
      <w:pPr>
        <w:rPr>
          <w:rFonts w:ascii="Arial" w:hAnsi="Arial" w:cs="Arial"/>
          <w:sz w:val="24"/>
          <w:szCs w:val="24"/>
        </w:rPr>
      </w:pPr>
      <w:r w:rsidRPr="00A93BFC">
        <w:rPr>
          <w:rFonts w:ascii="Arial" w:hAnsi="Arial" w:cs="Arial"/>
          <w:sz w:val="24"/>
          <w:szCs w:val="24"/>
        </w:rPr>
        <w:drawing>
          <wp:inline distT="0" distB="0" distL="0" distR="0" wp14:anchorId="7C64A7EF" wp14:editId="497CC3C4">
            <wp:extent cx="5391150" cy="3251380"/>
            <wp:effectExtent l="0" t="0" r="0" b="6350"/>
            <wp:docPr id="348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90" cy="325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93BFC" w:rsidRDefault="00A93BFC">
      <w:pPr>
        <w:rPr>
          <w:rFonts w:ascii="Arial" w:hAnsi="Arial" w:cs="Arial"/>
          <w:sz w:val="24"/>
          <w:szCs w:val="24"/>
        </w:rPr>
      </w:pPr>
    </w:p>
    <w:p w:rsidR="00A93BFC" w:rsidRDefault="00A93B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Zračenje Sunca</w:t>
      </w:r>
    </w:p>
    <w:p w:rsidR="00A93BFC" w:rsidRDefault="00A93BFC">
      <w:pPr>
        <w:rPr>
          <w:rFonts w:ascii="Arial" w:hAnsi="Arial" w:cs="Arial"/>
          <w:sz w:val="24"/>
          <w:szCs w:val="24"/>
        </w:rPr>
      </w:pPr>
      <w:r w:rsidRPr="00A93BFC">
        <w:rPr>
          <w:rFonts w:ascii="Arial" w:hAnsi="Arial" w:cs="Arial"/>
          <w:sz w:val="24"/>
          <w:szCs w:val="24"/>
        </w:rPr>
        <w:drawing>
          <wp:inline distT="0" distB="0" distL="0" distR="0" wp14:anchorId="35E967F5" wp14:editId="55DE3F03">
            <wp:extent cx="4667250" cy="3504680"/>
            <wp:effectExtent l="0" t="0" r="0" b="635"/>
            <wp:docPr id="399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324" cy="351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93BFC" w:rsidRDefault="00A93BFC">
      <w:pPr>
        <w:rPr>
          <w:rFonts w:ascii="Arial" w:hAnsi="Arial" w:cs="Arial"/>
          <w:sz w:val="24"/>
          <w:szCs w:val="24"/>
        </w:rPr>
      </w:pPr>
    </w:p>
    <w:p w:rsidR="00A93BFC" w:rsidRDefault="00A93BFC">
      <w:pPr>
        <w:rPr>
          <w:rFonts w:ascii="Arial" w:hAnsi="Arial" w:cs="Arial"/>
          <w:sz w:val="24"/>
          <w:szCs w:val="24"/>
        </w:rPr>
      </w:pPr>
    </w:p>
    <w:p w:rsidR="00A93BFC" w:rsidRDefault="00A93BFC">
      <w:pPr>
        <w:rPr>
          <w:rFonts w:ascii="Arial" w:hAnsi="Arial" w:cs="Arial"/>
          <w:sz w:val="24"/>
          <w:szCs w:val="24"/>
        </w:rPr>
      </w:pPr>
    </w:p>
    <w:p w:rsidR="00A93BFC" w:rsidRDefault="00A93BFC">
      <w:pPr>
        <w:rPr>
          <w:rFonts w:ascii="Arial" w:hAnsi="Arial" w:cs="Arial"/>
          <w:sz w:val="24"/>
          <w:szCs w:val="24"/>
        </w:rPr>
      </w:pPr>
    </w:p>
    <w:p w:rsidR="00A93BFC" w:rsidRDefault="00A93BFC">
      <w:pPr>
        <w:rPr>
          <w:rFonts w:ascii="Arial" w:hAnsi="Arial" w:cs="Arial"/>
          <w:sz w:val="24"/>
          <w:szCs w:val="24"/>
        </w:rPr>
      </w:pPr>
    </w:p>
    <w:p w:rsidR="00A93BFC" w:rsidRDefault="00A93BFC">
      <w:pPr>
        <w:rPr>
          <w:rFonts w:ascii="Arial" w:hAnsi="Arial" w:cs="Arial"/>
          <w:sz w:val="24"/>
          <w:szCs w:val="24"/>
        </w:rPr>
      </w:pPr>
    </w:p>
    <w:p w:rsidR="00A93BFC" w:rsidRDefault="00A93B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Elektromagnetni valovi i valne duljine</w:t>
      </w:r>
    </w:p>
    <w:p w:rsidR="00A93BFC" w:rsidRDefault="00A93BFC">
      <w:pPr>
        <w:rPr>
          <w:rFonts w:ascii="Arial" w:hAnsi="Arial" w:cs="Arial"/>
          <w:sz w:val="24"/>
          <w:szCs w:val="24"/>
        </w:rPr>
      </w:pPr>
      <w:r w:rsidRPr="00A93BFC">
        <w:rPr>
          <w:rFonts w:ascii="Arial" w:hAnsi="Arial" w:cs="Arial"/>
          <w:sz w:val="24"/>
          <w:szCs w:val="24"/>
        </w:rPr>
        <w:drawing>
          <wp:inline distT="0" distB="0" distL="0" distR="0" wp14:anchorId="28832D67" wp14:editId="5FDB01A0">
            <wp:extent cx="4181475" cy="3075801"/>
            <wp:effectExtent l="0" t="0" r="0" b="0"/>
            <wp:docPr id="44036" name="Picture 4" descr="http://www.val-znanje.com/images/stories/zdravlje/zr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 descr="http://www.val-znanje.com/images/stories/zdravlje/zrake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719" cy="311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93BFC" w:rsidRDefault="00A93BFC">
      <w:pPr>
        <w:rPr>
          <w:rFonts w:ascii="Arial" w:hAnsi="Arial" w:cs="Arial"/>
          <w:sz w:val="24"/>
          <w:szCs w:val="24"/>
        </w:rPr>
      </w:pPr>
      <w:r w:rsidRPr="00A93BFC">
        <w:rPr>
          <w:rFonts w:ascii="Arial" w:hAnsi="Arial" w:cs="Arial"/>
          <w:sz w:val="24"/>
          <w:szCs w:val="24"/>
        </w:rPr>
        <w:t>Potencijal Sunčevog zračenja na mediteranskom području</w:t>
      </w:r>
    </w:p>
    <w:p w:rsidR="00A93BFC" w:rsidRDefault="00A93B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2E48168B">
            <wp:extent cx="6572250" cy="534670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34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3BFC" w:rsidRDefault="00A93BFC">
      <w:pPr>
        <w:rPr>
          <w:rFonts w:ascii="Arial" w:hAnsi="Arial" w:cs="Arial"/>
          <w:sz w:val="24"/>
          <w:szCs w:val="24"/>
        </w:rPr>
      </w:pPr>
    </w:p>
    <w:p w:rsidR="00A93BFC" w:rsidRDefault="00A93BFC">
      <w:pPr>
        <w:rPr>
          <w:rFonts w:ascii="Arial" w:hAnsi="Arial" w:cs="Arial"/>
          <w:sz w:val="24"/>
          <w:szCs w:val="24"/>
        </w:rPr>
      </w:pPr>
    </w:p>
    <w:p w:rsidR="00A93BFC" w:rsidRDefault="00A93BFC" w:rsidP="00A93BFC">
      <w:pPr>
        <w:pStyle w:val="StandardWeb"/>
        <w:spacing w:before="0" w:beforeAutospacing="0" w:after="0" w:afterAutospacing="0"/>
        <w:textAlignment w:val="baseline"/>
      </w:pPr>
      <w:proofErr w:type="spellStart"/>
      <w:r w:rsidRPr="00A93BFC">
        <w:rPr>
          <w:rFonts w:ascii="Arial" w:hAnsi="Arial" w:cs="Arial"/>
        </w:rPr>
        <w:lastRenderedPageBreak/>
        <w:t>Campbell</w:t>
      </w:r>
      <w:proofErr w:type="spellEnd"/>
      <w:r w:rsidRPr="00A93BFC">
        <w:rPr>
          <w:rFonts w:ascii="Arial" w:hAnsi="Arial" w:cs="Arial"/>
        </w:rPr>
        <w:t>–</w:t>
      </w:r>
      <w:proofErr w:type="spellStart"/>
      <w:r w:rsidRPr="00A93BFC">
        <w:rPr>
          <w:rFonts w:ascii="Arial" w:hAnsi="Arial" w:cs="Arial"/>
        </w:rPr>
        <w:t>Stokesov</w:t>
      </w:r>
      <w:proofErr w:type="spellEnd"/>
      <w:r w:rsidRPr="00A93BFC">
        <w:rPr>
          <w:rFonts w:ascii="Arial" w:hAnsi="Arial" w:cs="Arial"/>
        </w:rPr>
        <w:t xml:space="preserve"> </w:t>
      </w:r>
      <w:proofErr w:type="spellStart"/>
      <w:r w:rsidRPr="00A93BFC">
        <w:rPr>
          <w:rFonts w:ascii="Arial" w:hAnsi="Arial" w:cs="Arial"/>
        </w:rPr>
        <w:t>heliograf</w:t>
      </w:r>
      <w:proofErr w:type="spellEnd"/>
      <w:r>
        <w:rPr>
          <w:rFonts w:ascii="Arial" w:hAnsi="Arial" w:cs="Arial"/>
        </w:rPr>
        <w:t xml:space="preserve">                    </w:t>
      </w:r>
      <w:r w:rsidRPr="00A93BFC">
        <w:rPr>
          <w:rFonts w:ascii="Arial" w:hAnsi="Arial" w:cs="Arial"/>
        </w:rPr>
        <w:t xml:space="preserve"> </w:t>
      </w:r>
      <w:proofErr w:type="spellStart"/>
      <w:r w:rsidRPr="00A93BFC">
        <w:rPr>
          <w:rFonts w:ascii="Arial" w:hAnsi="Arial" w:cs="Arial"/>
        </w:rPr>
        <w:t>Piranometar</w:t>
      </w:r>
      <w:proofErr w:type="spellEnd"/>
      <w:r>
        <w:rPr>
          <w:rFonts w:ascii="Arial" w:hAnsi="Arial" w:cs="Arial"/>
        </w:rPr>
        <w:t xml:space="preserve">                    </w:t>
      </w:r>
      <w:proofErr w:type="spellStart"/>
      <w:r w:rsidRPr="00A93BFC">
        <w:rPr>
          <w:rFonts w:ascii="Arial" w:hAnsi="Arial" w:cs="Arial"/>
          <w:color w:val="000000" w:themeColor="text1"/>
          <w:kern w:val="24"/>
          <w:lang w:val="en-US"/>
        </w:rPr>
        <w:t>Pirheliometar</w:t>
      </w:r>
      <w:proofErr w:type="spellEnd"/>
    </w:p>
    <w:p w:rsidR="00A93BFC" w:rsidRDefault="00A93BFC">
      <w:pPr>
        <w:rPr>
          <w:rFonts w:ascii="Arial" w:hAnsi="Arial" w:cs="Arial"/>
          <w:sz w:val="24"/>
          <w:szCs w:val="24"/>
        </w:rPr>
      </w:pPr>
      <w:r w:rsidRPr="00A93BFC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F6F0F8" wp14:editId="3E8702A1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1228725" cy="304800"/>
                <wp:effectExtent l="0" t="0" r="0" b="8890"/>
                <wp:wrapNone/>
                <wp:docPr id="5222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3BFC" w:rsidRDefault="00A93BFC"/>
                        </w:txbxContent>
                      </wps:txbx>
                      <wps:bodyPr wrap="none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6F0F8" id="Rectangle 8" o:spid="_x0000_s1026" style="position:absolute;margin-left:0;margin-top:-36pt;width:96.75pt;height:24pt;z-index:251659264;visibility:visible;mso-wrap-style:non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" filled="f" stroked="f">
                <v:textbox style="mso-fit-shape-to-text:t">
                  <w:txbxContent>
                    <w:p w:rsidR="00A93BFC" w:rsidRDefault="00A93BFC"/>
                  </w:txbxContent>
                </v:textbox>
                <w10:wrap anchorx="page"/>
              </v:rect>
            </w:pict>
          </mc:Fallback>
        </mc:AlternateContent>
      </w:r>
    </w:p>
    <w:p w:rsidR="00A93BFC" w:rsidRDefault="00A93B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5EAEBF49">
            <wp:extent cx="1981200" cy="1381654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57" cy="1390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4543EDC0">
            <wp:extent cx="2019300" cy="151313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750" cy="1520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40B2DCF1">
            <wp:extent cx="2059940" cy="1480479"/>
            <wp:effectExtent l="0" t="0" r="0" b="571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19" cy="1486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3BFC" w:rsidRDefault="00A93BFC">
      <w:pPr>
        <w:rPr>
          <w:rFonts w:ascii="Arial" w:hAnsi="Arial" w:cs="Arial"/>
          <w:sz w:val="24"/>
          <w:szCs w:val="24"/>
        </w:rPr>
      </w:pPr>
    </w:p>
    <w:p w:rsidR="00A93BFC" w:rsidRDefault="00A93BFC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Kutevi</w:t>
      </w:r>
      <w:proofErr w:type="spellEnd"/>
      <w:r>
        <w:rPr>
          <w:rFonts w:ascii="Arial" w:hAnsi="Arial" w:cs="Arial"/>
          <w:sz w:val="24"/>
          <w:szCs w:val="24"/>
        </w:rPr>
        <w:t xml:space="preserve"> upada Sunčevog zračenja</w:t>
      </w:r>
    </w:p>
    <w:p w:rsidR="00A93BFC" w:rsidRDefault="00A93BFC">
      <w:pPr>
        <w:rPr>
          <w:rFonts w:ascii="Arial" w:hAnsi="Arial" w:cs="Arial"/>
          <w:sz w:val="24"/>
          <w:szCs w:val="24"/>
        </w:rPr>
      </w:pPr>
      <w:r w:rsidRPr="00A93BFC">
        <w:rPr>
          <w:rFonts w:ascii="Arial" w:hAnsi="Arial" w:cs="Arial"/>
          <w:sz w:val="24"/>
          <w:szCs w:val="24"/>
        </w:rPr>
        <w:drawing>
          <wp:inline distT="0" distB="0" distL="0" distR="0" wp14:anchorId="5396E8EE" wp14:editId="5F72E09B">
            <wp:extent cx="6124575" cy="4356100"/>
            <wp:effectExtent l="0" t="0" r="0" b="0"/>
            <wp:docPr id="583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1" name="Picture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93BFC" w:rsidRDefault="00A93BFC">
      <w:pPr>
        <w:rPr>
          <w:rFonts w:ascii="Arial" w:hAnsi="Arial" w:cs="Arial"/>
          <w:sz w:val="24"/>
          <w:szCs w:val="24"/>
        </w:rPr>
      </w:pPr>
    </w:p>
    <w:p w:rsidR="00A93BFC" w:rsidRDefault="00A93BFC">
      <w:pPr>
        <w:rPr>
          <w:rFonts w:ascii="Arial" w:hAnsi="Arial" w:cs="Arial"/>
          <w:sz w:val="24"/>
          <w:szCs w:val="24"/>
        </w:rPr>
      </w:pPr>
    </w:p>
    <w:p w:rsidR="00A93BFC" w:rsidRDefault="00A93BFC">
      <w:pPr>
        <w:rPr>
          <w:rFonts w:ascii="Arial" w:hAnsi="Arial" w:cs="Arial"/>
          <w:sz w:val="24"/>
          <w:szCs w:val="24"/>
        </w:rPr>
      </w:pPr>
    </w:p>
    <w:p w:rsidR="00A93BFC" w:rsidRDefault="00A93BFC">
      <w:pPr>
        <w:rPr>
          <w:rFonts w:ascii="Arial" w:hAnsi="Arial" w:cs="Arial"/>
          <w:sz w:val="24"/>
          <w:szCs w:val="24"/>
        </w:rPr>
      </w:pPr>
    </w:p>
    <w:p w:rsidR="00A93BFC" w:rsidRPr="00A93BFC" w:rsidRDefault="00A93BFC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A93BFC" w:rsidRPr="00A93BFC" w:rsidSect="00A93B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BFC"/>
    <w:rsid w:val="007644A3"/>
    <w:rsid w:val="00A9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4D02A4-0D48-4863-A3BE-E06E1A95C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A93B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://www.val-znanje.com/images/stories/zdravlje/zrake.jpg" TargetMode="External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wmf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2015-10-21T07:07:00Z</dcterms:created>
  <dcterms:modified xsi:type="dcterms:W3CDTF">2015-10-21T07:18:00Z</dcterms:modified>
</cp:coreProperties>
</file>